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8592E">
      <w:pPr>
        <w:pStyle w:val="FORMATTEXT"/>
        <w:jc w:val="right"/>
      </w:pPr>
      <w:bookmarkStart w:id="0" w:name="_GoBack"/>
      <w:bookmarkEnd w:id="0"/>
      <w:r>
        <w:t xml:space="preserve">  </w:t>
      </w:r>
      <w:r>
        <w:t xml:space="preserve">  </w:t>
      </w:r>
    </w:p>
    <w:p w:rsidR="00000000" w:rsidRDefault="0028592E">
      <w:pPr>
        <w:pStyle w:val="FORMATTEXT"/>
        <w:jc w:val="right"/>
      </w:pPr>
      <w:r>
        <w:t>РД 12-341-00</w:t>
      </w:r>
    </w:p>
    <w:p w:rsidR="00000000" w:rsidRDefault="0028592E">
      <w:pPr>
        <w:pStyle w:val="FORMATTEXT"/>
        <w:jc w:val="right"/>
      </w:pPr>
      <w:r>
        <w:t xml:space="preserve"> </w:t>
      </w:r>
    </w:p>
    <w:p w:rsidR="00000000" w:rsidRDefault="0028592E">
      <w:pPr>
        <w:pStyle w:val="HEADERTEXT"/>
        <w:rPr>
          <w:b/>
          <w:bCs/>
          <w:color w:val="000001"/>
        </w:rPr>
      </w:pPr>
    </w:p>
    <w:p w:rsidR="00000000" w:rsidRDefault="0028592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ИНСТРУКЦИЯ ПО КОНТРОЛЮ ЗА СОДЕРЖАНИЕМ</w:t>
      </w:r>
    </w:p>
    <w:p w:rsidR="00000000" w:rsidRDefault="0028592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ОКИСИ УГЛЕРОДА В ПОМЕЩЕНИЯХ КОТЕЛЬНЫХ </w:t>
      </w:r>
    </w:p>
    <w:p w:rsidR="00000000" w:rsidRDefault="0028592E">
      <w:pPr>
        <w:pStyle w:val="FORMATTEXT"/>
        <w:jc w:val="right"/>
      </w:pPr>
      <w:r>
        <w:t>Дата введения 2000-05-01</w:t>
      </w:r>
    </w:p>
    <w:p w:rsidR="00000000" w:rsidRDefault="0028592E">
      <w:pPr>
        <w:pStyle w:val="FORMATTEXT"/>
        <w:jc w:val="right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УТВЕРЖДЕНА постановле</w:t>
      </w:r>
      <w:r>
        <w:t>нием Госгортехнадзора России 01.02.00 N 1.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ВВЕДЕНА В ДЕЙСТВИЕ постановлением Госгортехнадзора России от 07.02.00 N 2.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ВНЕСЕНО Изменение N 1 [РДИ 12-452(341)-02], утвержденное постановлением Госгортехнадзора России от 09.09.02 N 56.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HEADERTEXT"/>
        <w:rPr>
          <w:b/>
          <w:bCs/>
          <w:color w:val="000001"/>
        </w:rPr>
      </w:pPr>
    </w:p>
    <w:p w:rsidR="00000000" w:rsidRDefault="0028592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 ОБЩИЕ ПОЛОЖЕН</w:t>
      </w:r>
      <w:r>
        <w:rPr>
          <w:b/>
          <w:bCs/>
          <w:color w:val="000001"/>
        </w:rPr>
        <w:t xml:space="preserve">ИЯ </w:t>
      </w:r>
    </w:p>
    <w:p w:rsidR="00000000" w:rsidRDefault="0028592E">
      <w:pPr>
        <w:pStyle w:val="FORMATTEXT"/>
        <w:ind w:firstLine="568"/>
        <w:jc w:val="both"/>
      </w:pPr>
      <w:r>
        <w:t>1.1. Инструкция по контролю за содержанием окиси (оксида) углерода в помещениях котельных (далее - Инструкция) устанавливает требования к проектированию, монтажу, наладке, эксплуатации приборов контроля уровня концентрации окиси углерода (далее - прибо</w:t>
      </w:r>
      <w:r>
        <w:t>ры контроля) в помещениях котельных.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1.2. Инструкция распространяется на действующие, проектируемые и вновь реконструируемые помещения котельных.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Допускается не применять требования настоящей Инструкции для помещений с котлами единичной тепловой произв</w:t>
      </w:r>
      <w:r>
        <w:t>одительностью свыше 50 ГДж/ч, работающими на газовом топливе.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 xml:space="preserve">1.3. Выполнение Инструкции обязательно для организаций любых организационно-правовых форм и форм собственности, индивидуальных предпринимателей, а также граждан. </w:t>
      </w:r>
    </w:p>
    <w:p w:rsidR="00000000" w:rsidRDefault="0028592E">
      <w:pPr>
        <w:pStyle w:val="FORMATTEXT"/>
        <w:ind w:firstLine="568"/>
        <w:jc w:val="both"/>
      </w:pPr>
    </w:p>
    <w:p w:rsidR="00000000" w:rsidRDefault="0028592E">
      <w:pPr>
        <w:pStyle w:val="HEADERTEXT"/>
        <w:rPr>
          <w:b/>
          <w:bCs/>
          <w:color w:val="000001"/>
        </w:rPr>
      </w:pPr>
    </w:p>
    <w:p w:rsidR="00000000" w:rsidRDefault="0028592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ПОНЯТИЯ И ТЕРМИНЫ </w:t>
      </w:r>
    </w:p>
    <w:p w:rsidR="00000000" w:rsidRDefault="0028592E">
      <w:pPr>
        <w:pStyle w:val="FORMATTEXT"/>
        <w:ind w:firstLine="568"/>
        <w:jc w:val="both"/>
      </w:pPr>
      <w:r>
        <w:t>Рабо</w:t>
      </w:r>
      <w:r>
        <w:t>чая зона - пространство, ограниченное по высоте 2 м над уровнем пола или площадки, на которых находятся места постоянного или непостоянного (временного) пребывания работающих.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Рабочее место - место постоянного или временного пребывания работающих.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Пост</w:t>
      </w:r>
      <w:r>
        <w:t>оянное рабочее место - место, на котором работающий находится большую часть рабочего времени (более 50% или более 2 ч непрерывно). Если при этом работа осуществляется в различных пунктах рабочей зоны, постоянным рабочим местом считается вся рабочая зона.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Зона дыхания - зона, ограниченная рабочим местом оператора (машиниста) котельной.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Система контроля концентрации окиси углерода в воздухе помещений котельных - конструктивно связанные между собой технические элементы, обеспечивающие определение типа газа</w:t>
      </w:r>
      <w:r>
        <w:t xml:space="preserve"> и уровня его концентрации, сравнение уровня концентрации газа с </w:t>
      </w:r>
      <w:r>
        <w:lastRenderedPageBreak/>
        <w:t>пороговыми значениями, выработку управляющих сигналов для световой, звуковой сигнализации и внешних исполнительных устройств.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HEADERTEXT"/>
        <w:rPr>
          <w:b/>
          <w:bCs/>
          <w:color w:val="000001"/>
        </w:rPr>
      </w:pPr>
    </w:p>
    <w:p w:rsidR="00000000" w:rsidRDefault="0028592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 ПРИЧИНЫ ВОЗНИКНОВЕНИЯ ПОВЫШЕННОГО СОДЕРЖАНИЯ </w:t>
      </w:r>
    </w:p>
    <w:p w:rsidR="00000000" w:rsidRDefault="0028592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ОКИСИ УГЛЕРО</w:t>
      </w:r>
      <w:r>
        <w:rPr>
          <w:b/>
          <w:bCs/>
          <w:color w:val="000001"/>
        </w:rPr>
        <w:t xml:space="preserve">ДА В ВОЗДУХЕ ПОМЕЩЕНИЙ КОТЕЛЬНЫХ </w:t>
      </w:r>
    </w:p>
    <w:p w:rsidR="00000000" w:rsidRDefault="0028592E">
      <w:pPr>
        <w:pStyle w:val="FORMATTEXT"/>
        <w:ind w:firstLine="568"/>
        <w:jc w:val="both"/>
      </w:pPr>
      <w:r>
        <w:t>3.1. Основными причинами возникновения повышенного содержания окиси углерода в воздухе помещений котельных являются нарушения тяги, которые могут происходить в результате следующих обстоятельств: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3.1.1. Несогласованной р</w:t>
      </w:r>
      <w:r>
        <w:t>аботы дутьевого вентилятора и дымососа.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3.1.2. Колебания величины разрежения в топке котла в связи с разрушением горелки, горелочного тоннеля, нарушений процесса смесеобразования топлива с воздухом.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3.1.3. Малой величины тяги в летний период у котлов с</w:t>
      </w:r>
      <w:r>
        <w:t xml:space="preserve"> естественной тягой.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3.1.4. Взаимного влияния давлений в отводах газовых трактов котлов, имеющих общий газоход, - при отключении одного из котлов.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3.1.5. Разрушения газоходов при попадании в них грунтовых вод (или воды из других коммуникаций).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3.1.6.</w:t>
      </w:r>
      <w:r>
        <w:t> Появления течи из труб и других элементов поверхностей нагрева котлов, экономайзеров.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3.1.7. Загорания сажи на поверхностях нагрева котлов, работавших на твердом или жидком топливе.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3.1.8. Нарушений в настройке приборов и регуляторов соотношения давле</w:t>
      </w:r>
      <w:r>
        <w:t>ний "газ-воздух", разрежения в топке, тепловой нагрузки.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3.2. Возникновение разрежения в помещениях котельных вследствие нарушений в работе приточной вентиляции, когда забор воздуха на горение топлива в котле осуществляется из этого помещения.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3.3. Нар</w:t>
      </w:r>
      <w:r>
        <w:t>ушение газоплотности обмуровки и гарнитуры котлов, работающих с наддувом в топке.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3.4. Изменение типа топлива, имеющего теплоту сгорания, отличающуюся от предусмотренной программой настройки приборов автоматического регулирования процесса горения.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3.5.</w:t>
      </w:r>
      <w:r>
        <w:t> Другие причины.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HEADERTEXT"/>
        <w:rPr>
          <w:b/>
          <w:bCs/>
          <w:color w:val="000001"/>
        </w:rPr>
      </w:pPr>
    </w:p>
    <w:p w:rsidR="00000000" w:rsidRDefault="0028592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 ОБЩИЕ ТРЕБОВАНИЯ К ПРИБОРАМ КОНТРОЛЯ СОДЕРЖАНИЯ </w:t>
      </w:r>
    </w:p>
    <w:p w:rsidR="00000000" w:rsidRDefault="0028592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ОКИСИ УГЛЕРОДА В ПОМЕЩЕНИЯХ КОТЕЛЬНЫХ </w:t>
      </w:r>
    </w:p>
    <w:p w:rsidR="00000000" w:rsidRDefault="0028592E">
      <w:pPr>
        <w:pStyle w:val="FORMATTEXT"/>
        <w:ind w:firstLine="568"/>
        <w:jc w:val="both"/>
      </w:pPr>
      <w:r>
        <w:t>4.1. Конструкция прибора должна удовлетворять требованиям ГОСТ 13320-81.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4.2. Приборы должны осуществлять непрерывный контроль содержания окис</w:t>
      </w:r>
      <w:r>
        <w:t xml:space="preserve">и углерода в рабочей зоне с сигнализацией о превышении установленных ГОСТ 12.1.005-88 </w:t>
      </w:r>
      <w:r>
        <w:lastRenderedPageBreak/>
        <w:t>и ГН 2.2.5.686-98 порогов концентрации.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 xml:space="preserve">4.2.1. Чувствительность приборов должна быть избирательной по окиси углерода и не иметь перекрестной чувствительности по другим </w:t>
      </w:r>
      <w:r>
        <w:t>токсичным и горючим газам.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4.3. Сигнализация должна срабатывать на двух порогах (уровнях) концентрации СО в рабочей зоне.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4.3.1. Сигнализация первого уровня "Порог 1" должна срабатывать при достижении предельно допустимой концентрации СО в рабочей зоне</w:t>
      </w:r>
      <w:r>
        <w:t>, равной 20±5 мг/м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(ПДК р.з.), при этом включается прерывистый световой сигнал.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jc w:val="both"/>
      </w:pPr>
      <w:r>
        <w:t xml:space="preserve">  </w:t>
      </w:r>
    </w:p>
    <w:p w:rsidR="00000000" w:rsidRDefault="0028592E">
      <w:pPr>
        <w:pStyle w:val="FORMATTEXT"/>
        <w:ind w:firstLine="568"/>
        <w:jc w:val="both"/>
      </w:pPr>
      <w:r>
        <w:t>4.3.2. Сигнализация второго уровня "Порог 2" должна предусматриваться при достижении концентрации СО, равной 95-100 мг/м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(5 ПДК р.з.), при этом должны включаться непрерывный световой и звуковой сигналы.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jc w:val="both"/>
      </w:pPr>
      <w:r>
        <w:t xml:space="preserve">  </w:t>
      </w:r>
    </w:p>
    <w:p w:rsidR="00000000" w:rsidRDefault="0028592E">
      <w:pPr>
        <w:pStyle w:val="FORMATTEXT"/>
        <w:ind w:firstLine="568"/>
        <w:jc w:val="both"/>
      </w:pPr>
      <w:r>
        <w:t>4.3.3. Режим работы прибора должен предусматривать автоматическое снятие сигнализации "Порог 1" при снижении концентрации СО ниже ПДК р.з. Снять звук</w:t>
      </w:r>
      <w:r>
        <w:t>овую сигнализацию "Порог 2" оператор может нажатием кнопки "Сброс" при снижении концентрации СО до уровня не выше 2 ПДК р.з., световая сигнализация при этом снимается автоматически при достижении пороговых уровней концентрации.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4.4. Прибор контроля, в за</w:t>
      </w:r>
      <w:r>
        <w:t>висимости от принятой проектом схемы контроля СО в воздухе помещений котельной, должен иметь программу включения (отключения) аварийной вентиляции или автоматического отключения подачи топлива на котел до обеспечения нормальных концентраций СО на постоянны</w:t>
      </w:r>
      <w:r>
        <w:t>х рабочих местах.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4.5. Звуковой и световой сигналы от нескольких приборов должны быть выведены на общий пульт сигнализации.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 xml:space="preserve">4.6. Устройство приборов контроля должно удовлетворять требованиям ПУЭ, предъявляемым к электрооборудованию во вневзрывоопасных </w:t>
      </w:r>
      <w:r>
        <w:t>зонах. Безопасность конструкции при этом должна удовлетворять требованиям ГОСТ 12.2.007.0-75.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 xml:space="preserve">4.7. Приборы контроля СО, подключаемые к исполнительным механизмам газовых топливных систем, могут использоваться только при наличии сертификата установленного </w:t>
      </w:r>
      <w:r>
        <w:t>образца и разрешения на изготовление и применение этих приборов от Госгортехнадзора России.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4.8. Суммарная относительная погрешность измерений концентраций не должна превышать ±25 %.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4.9. Срок службы системы контроля концентрации окиси углерода в возду</w:t>
      </w:r>
      <w:r>
        <w:t>хе рабочей зоны должен быть не менее 10 лет.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4.10. Эксплуатационные характеристики приборов контроля должны предусматривать возможность нормального функционирования при температуре в помещении от 0 до +50 °С.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HEADERTEXT"/>
        <w:rPr>
          <w:b/>
          <w:bCs/>
          <w:color w:val="000001"/>
        </w:rPr>
      </w:pPr>
    </w:p>
    <w:p w:rsidR="00000000" w:rsidRDefault="0028592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 5. ТРЕБОВАНИЯ К ПРОЕКТИРОВАНИЮ, МОНТАЖУ (</w:t>
      </w:r>
      <w:r>
        <w:rPr>
          <w:b/>
          <w:bCs/>
          <w:color w:val="000001"/>
        </w:rPr>
        <w:t xml:space="preserve">УСТАНОВКЕ), НАЛАДКЕ </w:t>
      </w:r>
    </w:p>
    <w:p w:rsidR="00000000" w:rsidRDefault="0028592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ПРИБОРОВ КОНТРОЛЯ СОДЕРЖАНИЯ СО В ПОМЕЩЕНИЯХ КОТЕЛЬНЫХ </w:t>
      </w:r>
    </w:p>
    <w:p w:rsidR="00000000" w:rsidRDefault="0028592E">
      <w:pPr>
        <w:pStyle w:val="FORMATTEXT"/>
        <w:ind w:firstLine="568"/>
        <w:jc w:val="both"/>
      </w:pPr>
      <w:r>
        <w:t>5.1. В котельных с постоянным присутствием обслуживающего персонала датчики приборов контроля устанавливаются на расстоянии 150-180 см над уровнем пола или рабочей площадки там, г</w:t>
      </w:r>
      <w:r>
        <w:t>де пребывание оператора вероятно и продолжительно во время рабочей смены. Это место за рабочим столом в зоне дыхания у фронта котла.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5.2. В котельных, полностью автоматизированных, обслуживание которых осуществляется периодически, датчики приборов контро</w:t>
      </w:r>
      <w:r>
        <w:t>ля устанавливаются у входа в помещение, а сигнализация от прибора контроля выводится на пульт дежурного оператора.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5.3. При установке приборов в котельных залах с несплошными междуэтажными перекрытиями каждый этаж следует рассматривать как самостоятельно</w:t>
      </w:r>
      <w:r>
        <w:t>е помещение.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5.4. На каждые 200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помещения котельного зала следует устанавливать 1 датчик к прибору контроля, но не менее 1 датчика на каждое помещение.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jc w:val="both"/>
      </w:pPr>
      <w:r>
        <w:t xml:space="preserve">  </w:t>
      </w:r>
    </w:p>
    <w:p w:rsidR="00000000" w:rsidRDefault="0028592E">
      <w:pPr>
        <w:pStyle w:val="FORMATTEXT"/>
        <w:ind w:firstLine="568"/>
        <w:jc w:val="both"/>
      </w:pPr>
      <w:r>
        <w:t xml:space="preserve">5.5. Датчики приборов контроля необходимо устанавливать не </w:t>
      </w:r>
      <w:r>
        <w:t>ближе 2 м от мест подачи приточного воздуха и открытых форточек. При установке датчиков следует учитывать требования инструкции завода-изготовителя по монтажу, которой должно быть максимально исключено отрицательное влияние на точность измерения концентрац</w:t>
      </w:r>
      <w:r>
        <w:t>ии СО от движущихся потоков воздуха, относительной влажности в помещении котельной и тепловых облучений.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5.6. Датчики приборов контроля от попадания на них влаги необходимо защищать установкой защитного козырька.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5.7. В запыленных помещениях необходимо</w:t>
      </w:r>
      <w:r>
        <w:t xml:space="preserve"> предусматривать установку датчиков с фильтрами от пыли. Периодическая очистка загрязненных фильтров должна осуществляться в порядке, предусмотренном производственной инструкцией.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5.8. Проектами вновь строящихся котельных должна предусматриваться установ</w:t>
      </w:r>
      <w:r>
        <w:t>ка приборов контроля СО в помещениях котельных.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5.9. Установка приборов контроля в действующих и реконструируемых котельных должна осуществляться владельцем этой котельной в сроки, согласованные с территориальным органом Госгортехнадзора России.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HEADERTEXT"/>
        <w:rPr>
          <w:b/>
          <w:bCs/>
          <w:color w:val="000001"/>
        </w:rPr>
      </w:pPr>
    </w:p>
    <w:p w:rsidR="00000000" w:rsidRDefault="0028592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6. Т</w:t>
      </w:r>
      <w:r>
        <w:rPr>
          <w:b/>
          <w:bCs/>
          <w:color w:val="000001"/>
        </w:rPr>
        <w:t xml:space="preserve">РЕБОВАНИЯ К ЭКСПЛУАТАЦИИ ПРИБОРОВ КОНТРОЛЯ СО </w:t>
      </w:r>
    </w:p>
    <w:p w:rsidR="00000000" w:rsidRDefault="0028592E">
      <w:pPr>
        <w:pStyle w:val="FORMATTEXT"/>
        <w:ind w:firstLine="568"/>
        <w:jc w:val="both"/>
      </w:pPr>
      <w:r>
        <w:t>6.1. Находящиеся в эксплуатации приборы контроля СО должны иметь возможность периодической их проверки без демонтажа.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6.2. Не разрешается применение неисправных, с истекшими сроками поверки приборов контроля</w:t>
      </w:r>
      <w:r>
        <w:t>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6.3. При срабатывании сигнала "Порог 1" эксплуатационному персоналу необходимо: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lastRenderedPageBreak/>
        <w:t>6.3.1. Убедиться в постоянстве сигнала.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6.3.2. Открыть двери, фрамуги, проверить действие рабочей вентиляции и включить аварийную вентиляцию (при ее наличии).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6.3.3. </w:t>
      </w:r>
      <w:r>
        <w:t>Принять меры к обнаружению и устранению причины или источника проникновения СО в помещение котельной.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6.3.4. Сделать соответствующую запись в вахтенном журнале.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 xml:space="preserve">6.3.5. При сохранении уровня концентрации в течение часа - сообщить ответственному лицу за </w:t>
      </w:r>
      <w:r>
        <w:t>газовое хозяйство котельной о возникшей ситуации.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6.4. При срабатывании сигнала "Порог 2":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6.4.1. Открыть двери, фрамуги, проверить функционирование вентиляции и включение аварийных вентиляторов (при их наличии).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6.4.2. Принять меры к обнаружению и у</w:t>
      </w:r>
      <w:r>
        <w:t>странению причины или источника проникновения СО в помещение котельной.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6.4.3. Сообщить ответственному лицу за газовое хозяйство котельной о возникшем инциденте.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6.4.4. При сохранении концентрации СО 5 ПДК р.з. в течение 30 мин проверить отключение под</w:t>
      </w:r>
      <w:r>
        <w:t>ачи топлива в котел. Повторный пуск котла в работу производится после устранения причин повышенной концентрации СО.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6.4.5. Сделать соответствующую запись в вахтенном журнале.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HEADERTEXT"/>
        <w:rPr>
          <w:b/>
          <w:bCs/>
          <w:color w:val="000001"/>
        </w:rPr>
      </w:pPr>
    </w:p>
    <w:p w:rsidR="00000000" w:rsidRDefault="0028592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7. ТРЕБОВАНИЯ К ОБСЛУЖИВАНИЮ, РЕМОНТУ, ПОВЕРКЕ ПРИБОРОВ КОНТРОЛЯ </w:t>
      </w:r>
    </w:p>
    <w:p w:rsidR="00000000" w:rsidRDefault="0028592E">
      <w:pPr>
        <w:pStyle w:val="FORMATTEXT"/>
        <w:ind w:firstLine="568"/>
        <w:jc w:val="both"/>
      </w:pPr>
      <w:r>
        <w:t>7.1. Обсл</w:t>
      </w:r>
      <w:r>
        <w:t>уживание и ремонт приборов контроля проводятся в порядке и в сроки, предусмотренные технической документацией завода-изготовителя на эти приборы.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7.2. Тестирование и проверки приборов должны осуществляться по методике завода-изготовителя.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7.3. Один раз</w:t>
      </w:r>
      <w:r>
        <w:t xml:space="preserve"> в год необходимо осуществлять государственную поверку сигнализаторов контрольными смесями на уровнях срабатывания.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 xml:space="preserve">7.4. Ремонт и обслуживание приборов контроля должны осуществляться обученным персоналом, прошедшим аттестацию в квалификационной комиссии </w:t>
      </w:r>
      <w:r>
        <w:t>специализированной организации или завода-изготовителя. Участие представителя органа Госгортехнадзора России в работе комиссии по аттестации названного персонала необязательно.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7.5. По окончании срока службы прибора (датчика) контроля проводится его диаг</w:t>
      </w:r>
      <w:r>
        <w:t>ностика с целью установления возможности дальнейшей эксплуатации или замены.</w:t>
      </w:r>
    </w:p>
    <w:p w:rsidR="00000000" w:rsidRDefault="0028592E">
      <w:pPr>
        <w:pStyle w:val="FORMATTEXT"/>
        <w:ind w:firstLine="568"/>
        <w:jc w:val="both"/>
      </w:pPr>
      <w:r>
        <w:t xml:space="preserve"> </w:t>
      </w:r>
    </w:p>
    <w:p w:rsidR="00000000" w:rsidRDefault="0028592E">
      <w:pPr>
        <w:pStyle w:val="FORMATTEXT"/>
        <w:ind w:firstLine="568"/>
        <w:jc w:val="both"/>
      </w:pPr>
      <w:r>
        <w:t>7.6. Персонал котельной должен ежесменно удостоверяться в работоспособности приборов контроля с отметкой в вахтенном журнале.</w:t>
      </w:r>
    </w:p>
    <w:p w:rsidR="00000000" w:rsidRDefault="0028592E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28592E">
      <w:pPr>
        <w:pStyle w:val="FORMATTEXT"/>
        <w:jc w:val="both"/>
      </w:pPr>
      <w:r>
        <w:t>Текст документа сверен по:</w:t>
      </w:r>
    </w:p>
    <w:p w:rsidR="00000000" w:rsidRDefault="0028592E">
      <w:pPr>
        <w:pStyle w:val="FORMATTEXT"/>
        <w:jc w:val="both"/>
      </w:pPr>
      <w:r>
        <w:t xml:space="preserve"> официальное издание</w:t>
      </w:r>
    </w:p>
    <w:p w:rsidR="00000000" w:rsidRDefault="0028592E">
      <w:pPr>
        <w:pStyle w:val="FORMATTEXT"/>
        <w:jc w:val="both"/>
      </w:pPr>
      <w:r>
        <w:t xml:space="preserve"> </w:t>
      </w:r>
      <w:r>
        <w:t>Серия 12. Нормативные документы по безопасности,</w:t>
      </w:r>
    </w:p>
    <w:p w:rsidR="00000000" w:rsidRDefault="0028592E">
      <w:pPr>
        <w:pStyle w:val="FORMATTEXT"/>
        <w:jc w:val="both"/>
      </w:pPr>
      <w:r>
        <w:t xml:space="preserve"> надзорной и разрешительной деятельности в газовом хозяйстве.</w:t>
      </w:r>
    </w:p>
    <w:p w:rsidR="00000000" w:rsidRDefault="0028592E">
      <w:pPr>
        <w:pStyle w:val="FORMATTEXT"/>
        <w:jc w:val="both"/>
      </w:pPr>
      <w:r>
        <w:t xml:space="preserve"> Выпуск 1. Промышленная безопасность в газовом хозяйстве:</w:t>
      </w:r>
    </w:p>
    <w:p w:rsidR="00000000" w:rsidRDefault="0028592E">
      <w:pPr>
        <w:pStyle w:val="FORMATTEXT"/>
        <w:jc w:val="both"/>
      </w:pPr>
      <w:r>
        <w:t xml:space="preserve"> Сб. документов. - 2-е издание, исправленное и дополненное. -</w:t>
      </w:r>
    </w:p>
    <w:p w:rsidR="00000000" w:rsidRDefault="0028592E">
      <w:pPr>
        <w:pStyle w:val="FORMATTEXT"/>
        <w:jc w:val="both"/>
      </w:pPr>
      <w:r>
        <w:t xml:space="preserve"> М.: ГУП "НТЦ по безопасн</w:t>
      </w:r>
      <w:r>
        <w:t xml:space="preserve">ости в промышленности Госгортехнадзора России", 2002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2E"/>
    <w:rsid w:val="0028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 12-341-00 Инструкция по контролю за содержанием окиси углерода в помещениях котельных (с Изменением N 1) </vt:lpstr>
    </vt:vector>
  </TitlesOfParts>
  <Company/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 12-341-00 Инструкция по контролю за содержанием окиси углерода в помещениях котельных (с Изменением N 1)</dc:title>
  <dc:creator>Павел А. Долин</dc:creator>
  <cp:lastModifiedBy>Павел А. Долин</cp:lastModifiedBy>
  <cp:revision>2</cp:revision>
  <dcterms:created xsi:type="dcterms:W3CDTF">2015-08-27T02:26:00Z</dcterms:created>
  <dcterms:modified xsi:type="dcterms:W3CDTF">2015-08-27T02:26:00Z</dcterms:modified>
</cp:coreProperties>
</file>